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3EE" w:rsidRDefault="00BC33E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C33EE" w:rsidRDefault="00BC33E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"/>
          <w:szCs w:val="2"/>
        </w:rPr>
      </w:pPr>
      <w:r>
        <w:rPr>
          <w:rFonts w:ascii="Calibri" w:hAnsi="Calibri" w:cs="Calibri"/>
        </w:rPr>
        <w:t>17 июля 2009 года N 172-ФЗ</w:t>
      </w:r>
      <w:r>
        <w:rPr>
          <w:rFonts w:ascii="Calibri" w:hAnsi="Calibri" w:cs="Calibri"/>
        </w:rPr>
        <w:br/>
      </w:r>
      <w:r>
        <w:rPr>
          <w:rFonts w:ascii="Calibri" w:hAnsi="Calibri" w:cs="Calibri"/>
        </w:rPr>
        <w:br/>
      </w:r>
    </w:p>
    <w:p w:rsidR="00BC33EE" w:rsidRDefault="00BC33EE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BC33EE" w:rsidRDefault="00BC33E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C33EE" w:rsidRDefault="00BC33EE">
      <w:pPr>
        <w:pStyle w:val="ConsPlusTitle"/>
        <w:widowControl/>
        <w:jc w:val="center"/>
      </w:pPr>
      <w:r>
        <w:t>РОССИЙСКАЯ ФЕДЕРАЦИЯ</w:t>
      </w:r>
    </w:p>
    <w:p w:rsidR="00BC33EE" w:rsidRDefault="00BC33EE">
      <w:pPr>
        <w:pStyle w:val="ConsPlusTitle"/>
        <w:widowControl/>
        <w:jc w:val="center"/>
      </w:pPr>
    </w:p>
    <w:p w:rsidR="00BC33EE" w:rsidRDefault="00BC33EE">
      <w:pPr>
        <w:pStyle w:val="ConsPlusTitle"/>
        <w:widowControl/>
        <w:jc w:val="center"/>
      </w:pPr>
      <w:r>
        <w:t>ФЕДЕРАЛЬНЫЙ ЗАКОН</w:t>
      </w:r>
    </w:p>
    <w:p w:rsidR="00BC33EE" w:rsidRDefault="00BC33EE">
      <w:pPr>
        <w:pStyle w:val="ConsPlusTitle"/>
        <w:widowControl/>
        <w:jc w:val="center"/>
      </w:pPr>
    </w:p>
    <w:p w:rsidR="00BC33EE" w:rsidRDefault="00BC33EE">
      <w:pPr>
        <w:pStyle w:val="ConsPlusTitle"/>
        <w:widowControl/>
        <w:jc w:val="center"/>
      </w:pPr>
      <w:r>
        <w:t>ОБ АНТИКОРРУПЦИОННОЙ ЭКСПЕРТИЗЕ</w:t>
      </w:r>
    </w:p>
    <w:p w:rsidR="00BC33EE" w:rsidRDefault="00BC33EE">
      <w:pPr>
        <w:pStyle w:val="ConsPlusTitle"/>
        <w:widowControl/>
        <w:jc w:val="center"/>
      </w:pPr>
      <w:r>
        <w:t>НОРМАТИВНЫХ ПРАВОВЫХ АКТОВ И ПРОЕКТОВ НОРМАТИВНЫХ</w:t>
      </w:r>
    </w:p>
    <w:p w:rsidR="00BC33EE" w:rsidRDefault="00BC33EE">
      <w:pPr>
        <w:pStyle w:val="ConsPlusTitle"/>
        <w:widowControl/>
        <w:jc w:val="center"/>
      </w:pPr>
      <w:r>
        <w:t>ПРАВОВЫХ АКТОВ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33EE" w:rsidRDefault="00BC33E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Принят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Государственной Думой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3 июля 2009 года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C33EE" w:rsidRDefault="00BC33E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Одобрен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Советом Федерации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7 июля 2009 года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1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Настоящий Федеральный закон устанавливает правовые и организационные основы антикоррупционной экспертизы нормативных правовых актов и проектов нормативных правовых актов в целях выявления в них коррупциогенных факторов и их последующего устранения.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Коррупциогенными факторами являются положения нормативных правовых актов (проектов нормативных правовых актов), устанавливающие для правоприменителя необоснованно широкие пределы усмотрения или возможность необоснованного применения исключений из общих правил, а также положения, содержащие неопределенные, трудновыполнимые и (или) обременительные требования к гражданам и организациям и тем самым создающие условия для проявления коррупции.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2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Основными принципами организации антикоррупционной экспертизы нормативных правовых актов (проектов нормативных правовых актов) являются: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обязательность проведения антикоррупционной экспертизы проектов нормативных правовых актов;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оценка нормативного правового акта во взаимосвязи с другими нормативными правовыми актами;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обоснованность, объективность и проверяемость результатов антикоррупционной экспертизы нормативных правовых актов (проектов нормативных правовых актов);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компетентность лиц, проводящих антикоррупционную экспертизу нормативных правовых актов (проектов нормативных правовых актов);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сотрудничество федеральных органов исполнительной власти, иных государственных органов и организаций, органов государственной власти субъектов Российской Федерации, органов местного самоуправления, а также их должностных лиц (далее - органы, организации, их должностные лица) с институтами гражданского общества при проведении антикоррупционной экспертизы нормативных правовых актов (проектов нормативных правовых актов).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3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Антикоррупционная экспертиза нормативных правовых актов (проектов нормативных правовых актов) проводится: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1) прокуратурой Российской Федерации - в соответствии с настоящим Федеральным законом и Федеральным </w:t>
      </w:r>
      <w:hyperlink r:id="rId4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"О прокуратуре Российской Федерации", в установленном Генеральной прокуратурой Российской Федерации </w:t>
      </w:r>
      <w:hyperlink r:id="rId5" w:history="1">
        <w:r>
          <w:rPr>
            <w:rFonts w:ascii="Calibri" w:hAnsi="Calibri" w:cs="Calibri"/>
            <w:color w:val="0000FF"/>
          </w:rPr>
          <w:t>порядке</w:t>
        </w:r>
      </w:hyperlink>
      <w:r>
        <w:rPr>
          <w:rFonts w:ascii="Calibri" w:hAnsi="Calibri" w:cs="Calibri"/>
        </w:rPr>
        <w:t xml:space="preserve"> и согласно </w:t>
      </w:r>
      <w:hyperlink r:id="rId6" w:history="1">
        <w:r>
          <w:rPr>
            <w:rFonts w:ascii="Calibri" w:hAnsi="Calibri" w:cs="Calibri"/>
            <w:color w:val="0000FF"/>
          </w:rPr>
          <w:t>методике</w:t>
        </w:r>
      </w:hyperlink>
      <w:r>
        <w:rPr>
          <w:rFonts w:ascii="Calibri" w:hAnsi="Calibri" w:cs="Calibri"/>
        </w:rPr>
        <w:t>, определенной Правительством Российской Федерации;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федеральным органом исполнительной власти в области юстиции - в соответствии с настоящим Федеральным законом, в </w:t>
      </w:r>
      <w:hyperlink r:id="rId7" w:history="1">
        <w:r>
          <w:rPr>
            <w:rFonts w:ascii="Calibri" w:hAnsi="Calibri" w:cs="Calibri"/>
            <w:color w:val="0000FF"/>
          </w:rPr>
          <w:t>порядке</w:t>
        </w:r>
      </w:hyperlink>
      <w:r>
        <w:rPr>
          <w:rFonts w:ascii="Calibri" w:hAnsi="Calibri" w:cs="Calibri"/>
        </w:rPr>
        <w:t xml:space="preserve"> и согласно </w:t>
      </w:r>
      <w:hyperlink r:id="rId8" w:history="1">
        <w:r>
          <w:rPr>
            <w:rFonts w:ascii="Calibri" w:hAnsi="Calibri" w:cs="Calibri"/>
            <w:color w:val="0000FF"/>
          </w:rPr>
          <w:t>методике</w:t>
        </w:r>
      </w:hyperlink>
      <w:r>
        <w:rPr>
          <w:rFonts w:ascii="Calibri" w:hAnsi="Calibri" w:cs="Calibri"/>
        </w:rPr>
        <w:t>, определенным Правительством Российской Федерации;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3) органами, организациями, их должностными лицами - в соответствии с настоящим Федеральным законом, в порядке, установленном нормативными правовыми актами соответствующих федеральных органов исполнительной власти, иных государственных органов и организаций, органов государственной власти субъектов Российской Федерации, органов местного самоуправления, и согласно </w:t>
      </w:r>
      <w:hyperlink r:id="rId9" w:history="1">
        <w:r>
          <w:rPr>
            <w:rFonts w:ascii="Calibri" w:hAnsi="Calibri" w:cs="Calibri"/>
            <w:color w:val="0000FF"/>
          </w:rPr>
          <w:t>методике</w:t>
        </w:r>
      </w:hyperlink>
      <w:r>
        <w:rPr>
          <w:rFonts w:ascii="Calibri" w:hAnsi="Calibri" w:cs="Calibri"/>
        </w:rPr>
        <w:t>, определенной Правительством Российской Федерации.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Прокуроры в ходе осуществления своих полномочий проводят антикоррупционную экспертизу нормативных правовых актов органов, организаций, их должностных лиц по вопросам, касающимся: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прав, свобод и обязанностей человека и гражданина;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государственной и муниципальной собственности, государственной и муниципальной службы, </w:t>
      </w:r>
      <w:hyperlink r:id="rId10" w:history="1">
        <w:r>
          <w:rPr>
            <w:rFonts w:ascii="Calibri" w:hAnsi="Calibri" w:cs="Calibri"/>
            <w:color w:val="0000FF"/>
          </w:rPr>
          <w:t>бюджетного</w:t>
        </w:r>
      </w:hyperlink>
      <w:r>
        <w:rPr>
          <w:rFonts w:ascii="Calibri" w:hAnsi="Calibri" w:cs="Calibri"/>
        </w:rPr>
        <w:t xml:space="preserve">, </w:t>
      </w:r>
      <w:hyperlink r:id="rId11" w:history="1">
        <w:r>
          <w:rPr>
            <w:rFonts w:ascii="Calibri" w:hAnsi="Calibri" w:cs="Calibri"/>
            <w:color w:val="0000FF"/>
          </w:rPr>
          <w:t>налогового</w:t>
        </w:r>
      </w:hyperlink>
      <w:r>
        <w:rPr>
          <w:rFonts w:ascii="Calibri" w:hAnsi="Calibri" w:cs="Calibri"/>
        </w:rPr>
        <w:t xml:space="preserve">, </w:t>
      </w:r>
      <w:hyperlink r:id="rId12" w:history="1">
        <w:r>
          <w:rPr>
            <w:rFonts w:ascii="Calibri" w:hAnsi="Calibri" w:cs="Calibri"/>
            <w:color w:val="0000FF"/>
          </w:rPr>
          <w:t>таможенного</w:t>
        </w:r>
      </w:hyperlink>
      <w:r>
        <w:rPr>
          <w:rFonts w:ascii="Calibri" w:hAnsi="Calibri" w:cs="Calibri"/>
        </w:rPr>
        <w:t xml:space="preserve">, </w:t>
      </w:r>
      <w:hyperlink r:id="rId13" w:history="1">
        <w:r>
          <w:rPr>
            <w:rFonts w:ascii="Calibri" w:hAnsi="Calibri" w:cs="Calibri"/>
            <w:color w:val="0000FF"/>
          </w:rPr>
          <w:t>лесного</w:t>
        </w:r>
      </w:hyperlink>
      <w:r>
        <w:rPr>
          <w:rFonts w:ascii="Calibri" w:hAnsi="Calibri" w:cs="Calibri"/>
        </w:rPr>
        <w:t xml:space="preserve">, </w:t>
      </w:r>
      <w:hyperlink r:id="rId14" w:history="1">
        <w:r>
          <w:rPr>
            <w:rFonts w:ascii="Calibri" w:hAnsi="Calibri" w:cs="Calibri"/>
            <w:color w:val="0000FF"/>
          </w:rPr>
          <w:t>водного</w:t>
        </w:r>
      </w:hyperlink>
      <w:r>
        <w:rPr>
          <w:rFonts w:ascii="Calibri" w:hAnsi="Calibri" w:cs="Calibri"/>
        </w:rPr>
        <w:t xml:space="preserve">, </w:t>
      </w:r>
      <w:hyperlink r:id="rId15" w:history="1">
        <w:r>
          <w:rPr>
            <w:rFonts w:ascii="Calibri" w:hAnsi="Calibri" w:cs="Calibri"/>
            <w:color w:val="0000FF"/>
          </w:rPr>
          <w:t>земельного</w:t>
        </w:r>
      </w:hyperlink>
      <w:r>
        <w:rPr>
          <w:rFonts w:ascii="Calibri" w:hAnsi="Calibri" w:cs="Calibri"/>
        </w:rPr>
        <w:t xml:space="preserve">, </w:t>
      </w:r>
      <w:hyperlink r:id="rId16" w:history="1">
        <w:r>
          <w:rPr>
            <w:rFonts w:ascii="Calibri" w:hAnsi="Calibri" w:cs="Calibri"/>
            <w:color w:val="0000FF"/>
          </w:rPr>
          <w:t>градостроительного</w:t>
        </w:r>
      </w:hyperlink>
      <w:r>
        <w:rPr>
          <w:rFonts w:ascii="Calibri" w:hAnsi="Calibri" w:cs="Calibri"/>
        </w:rPr>
        <w:t xml:space="preserve">, </w:t>
      </w:r>
      <w:hyperlink r:id="rId17" w:history="1">
        <w:r>
          <w:rPr>
            <w:rFonts w:ascii="Calibri" w:hAnsi="Calibri" w:cs="Calibri"/>
            <w:color w:val="0000FF"/>
          </w:rPr>
          <w:t>природоохранного</w:t>
        </w:r>
      </w:hyperlink>
      <w:r>
        <w:rPr>
          <w:rFonts w:ascii="Calibri" w:hAnsi="Calibri" w:cs="Calibri"/>
        </w:rPr>
        <w:t xml:space="preserve"> законодательства, </w:t>
      </w:r>
      <w:hyperlink r:id="rId18" w:history="1">
        <w:r>
          <w:rPr>
            <w:rFonts w:ascii="Calibri" w:hAnsi="Calibri" w:cs="Calibri"/>
            <w:color w:val="0000FF"/>
          </w:rPr>
          <w:t>законодательства</w:t>
        </w:r>
      </w:hyperlink>
      <w:r>
        <w:rPr>
          <w:rFonts w:ascii="Calibri" w:hAnsi="Calibri" w:cs="Calibri"/>
        </w:rPr>
        <w:t xml:space="preserve"> о лицензировании, а также законодательства, регулирующего деятельность государственных корпораций, фондов и иных организаций, создаваемых Российской Федерацией на основании федерального закона;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социальных гарантий лицам, замещающим (замещавшим) государственные или муниципальные должности, должности государственной или муниципальной службы.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Федеральный орган исполнительной власти в области юстиции проводит антикоррупционную экспертизу: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проектов федеральных законов, проектов указов Президента Российской Федерации и проектов постановлений Правительства Российской Федерации, разрабатываемых федеральными органами исполнительной власти, иными государственными органами и организациями, - при проведении их правовой экспертизы;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проектов концепций и технических заданий на разработку проектов федеральных законов, проектов официальных отзывов и заключений на проекты федеральных законов - при проведении их правовой экспертизы;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нормативных правовых актов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а также уставов муниципальных образований и муниципальных правовых актов о внесении изменений в уставы муниципальных образований - при их государственной регистрации;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нормативных правовых актов субъектов Российской Федерации - при мониторинге их применения.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Органы, организации, их должностные лица проводят антикоррупционную экспертизу принятых ими нормативных правовых актов (проектов нормативных правовых актов) при проведении их правовой экспертизы и мониторинге их применения.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Органы, организации, их должностные лица в случае обнаружения в нормативных правовых актах (проектах нормативных правовых актов) коррупциогенных факторов, принятие мер по устранению которых не относится к их компетенции, информируют об этом органы прокуратуры.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4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Выявленные в нормативных правовых актах (проектах нормативных правовых актов) коррупциогенные факторы отражаются: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1) в требовании прокурора об изменении нормативного правового акта или в обращении прокурора в суд в порядке, предусмотренном процессуальным законодательством Российской Федерации;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в заключении, составляемом при проведении антикоррупционной экспертизы в случаях, предусмотренных </w:t>
      </w:r>
      <w:hyperlink r:id="rId19" w:history="1">
        <w:r>
          <w:rPr>
            <w:rFonts w:ascii="Calibri" w:hAnsi="Calibri" w:cs="Calibri"/>
            <w:color w:val="0000FF"/>
          </w:rPr>
          <w:t>частями 3</w:t>
        </w:r>
      </w:hyperlink>
      <w:r>
        <w:rPr>
          <w:rFonts w:ascii="Calibri" w:hAnsi="Calibri" w:cs="Calibri"/>
        </w:rPr>
        <w:t xml:space="preserve"> и </w:t>
      </w:r>
      <w:hyperlink r:id="rId20" w:history="1">
        <w:r>
          <w:rPr>
            <w:rFonts w:ascii="Calibri" w:hAnsi="Calibri" w:cs="Calibri"/>
            <w:color w:val="0000FF"/>
          </w:rPr>
          <w:t>4 статьи 3</w:t>
        </w:r>
      </w:hyperlink>
      <w:r>
        <w:rPr>
          <w:rFonts w:ascii="Calibri" w:hAnsi="Calibri" w:cs="Calibri"/>
        </w:rPr>
        <w:t xml:space="preserve"> настоящего Федерального закона (далее - заключение).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В требовании прокурора об изменении нормативного правового акта и в заключении должны быть указаны выявленные в нормативном правовом акте (проекте нормативного правового акта) коррупциогенные факторы и предложены способы их устранения.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Требование прокурора об изменении нормативного правового акта подлежит обязательному рассмотрению соответствующими органом, организацией или должностным лицом не позднее чем в десятидневный срок со дня поступления требования и учитывается в установленном порядке органом, организацией или должностным лицом, которые издали этот акт, в соответствии с их компетенцией. Требование прокурора об изменении нормативного правового акта, направленное в законодательный (представительный) орган государственной власти субъекта Российской Федерации или в представительный орган местного самоуправления, подлежит обязательному рассмотрению на ближайшем заседании соответствующего органа и учитывается в установленном порядке органом, который издал этот акт, в соответствии с его компетенцией.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Требование прокурора об изменении нормативного правового акта может быть обжаловано в установленном порядке.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Заключение носит рекомендательный характер и подлежит обязательному рассмотрению соответствующими органом, организацией или должностным лицом.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Разногласия, возникающие при оценке указанных в заключении коррупциогенных факторов, разрешаются в установленном порядке.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5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Институты гражданского общества и граждане могут в </w:t>
      </w:r>
      <w:hyperlink r:id="rId21" w:history="1">
        <w:r>
          <w:rPr>
            <w:rFonts w:ascii="Calibri" w:hAnsi="Calibri" w:cs="Calibri"/>
            <w:color w:val="0000FF"/>
          </w:rPr>
          <w:t>порядке</w:t>
        </w:r>
      </w:hyperlink>
      <w:r>
        <w:rPr>
          <w:rFonts w:ascii="Calibri" w:hAnsi="Calibri" w:cs="Calibri"/>
        </w:rPr>
        <w:t>, предусмотренном нормативными правовыми актами Российской Федерации, за счет собственных средств проводить независимую антикоррупционную экспертизу нормативных правовых актов (проектов нормативных правовых актов).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В заключении по результатам независимой антикоррупционной экспертизы должны быть указаны выявленные в нормативном правовом акте (проекте нормативного правового акта) коррупциогенные факторы и предложены способы их устранения.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Заключение по результатам независимой антикоррупционной экспертизы носит рекомендательный характер и подлежит обязательному рассмотрению органом, организацией или должностным лицом, которым оно направлено, в тридцатидневный срок со дня его получения. По результатам рассмотрения гражданину или организации, проводившим независимую экспертизу, направляется мотивированный ответ, за исключением случаев, когда в заключении отсутствует предложение о способе устранения выявленных коррупциогенных факторов.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33EE" w:rsidRDefault="00BC33E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Президент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Д.МЕДВЕДЕВ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Москва, Кремль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17 июля 2009 года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N 172-ФЗ</w:t>
      </w:r>
    </w:p>
    <w:p w:rsidR="00BC33EE" w:rsidRDefault="00BC33E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C33EE" w:rsidRDefault="00BC33E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C33EE" w:rsidRDefault="00BC33EE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5D13D0" w:rsidRDefault="005D13D0">
      <w:bookmarkStart w:id="0" w:name="_GoBack"/>
      <w:bookmarkEnd w:id="0"/>
    </w:p>
    <w:sectPr w:rsidR="005D13D0" w:rsidSect="009E03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efaultTabStop w:val="708"/>
  <w:characterSpacingControl w:val="doNotCompress"/>
  <w:compat/>
  <w:rsids>
    <w:rsidRoot w:val="00BC33EE"/>
    <w:rsid w:val="00162FE5"/>
    <w:rsid w:val="00585E34"/>
    <w:rsid w:val="005D13D0"/>
    <w:rsid w:val="00BC3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F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C33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C33E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C33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C33E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98088;fld=134;dst=100027" TargetMode="External"/><Relationship Id="rId13" Type="http://schemas.openxmlformats.org/officeDocument/2006/relationships/hyperlink" Target="consultantplus://offline/main?base=LAW;n=108902;fld=134" TargetMode="External"/><Relationship Id="rId18" Type="http://schemas.openxmlformats.org/officeDocument/2006/relationships/hyperlink" Target="consultantplus://offline/main?base=LAW;n=103208;fld=13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main?base=LAW;n=98088;fld=134;dst=100021" TargetMode="External"/><Relationship Id="rId7" Type="http://schemas.openxmlformats.org/officeDocument/2006/relationships/hyperlink" Target="consultantplus://offline/main?base=LAW;n=98088;fld=134;dst=100013" TargetMode="External"/><Relationship Id="rId12" Type="http://schemas.openxmlformats.org/officeDocument/2006/relationships/hyperlink" Target="consultantplus://offline/main?base=LAW;n=107181;fld=134" TargetMode="External"/><Relationship Id="rId17" Type="http://schemas.openxmlformats.org/officeDocument/2006/relationships/hyperlink" Target="consultantplus://offline/main?base=LAW;n=108863;fld=134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main?base=LAW;n=111908;fld=134" TargetMode="External"/><Relationship Id="rId20" Type="http://schemas.openxmlformats.org/officeDocument/2006/relationships/hyperlink" Target="consultantplus://offline/main?base=LAW;n=89553;fld=134;dst=100032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98088;fld=134;dst=100027" TargetMode="External"/><Relationship Id="rId11" Type="http://schemas.openxmlformats.org/officeDocument/2006/relationships/hyperlink" Target="consultantplus://offline/main?base=LAW;n=108642;fld=134" TargetMode="External"/><Relationship Id="rId24" Type="http://schemas.microsoft.com/office/2007/relationships/stylesWithEffects" Target="stylesWithEffects.xml"/><Relationship Id="rId5" Type="http://schemas.openxmlformats.org/officeDocument/2006/relationships/hyperlink" Target="consultantplus://offline/main?base=LAW;n=98703;fld=134;dst=100003" TargetMode="External"/><Relationship Id="rId15" Type="http://schemas.openxmlformats.org/officeDocument/2006/relationships/hyperlink" Target="consultantplus://offline/main?base=LAW;n=112800;fld=134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main?base=LAW;n=112715;fld=134" TargetMode="External"/><Relationship Id="rId19" Type="http://schemas.openxmlformats.org/officeDocument/2006/relationships/hyperlink" Target="consultantplus://offline/main?base=LAW;n=89553;fld=134;dst=100027" TargetMode="External"/><Relationship Id="rId4" Type="http://schemas.openxmlformats.org/officeDocument/2006/relationships/hyperlink" Target="consultantplus://offline/main?base=LAW;n=110234;fld=134;dst=100525" TargetMode="External"/><Relationship Id="rId9" Type="http://schemas.openxmlformats.org/officeDocument/2006/relationships/hyperlink" Target="consultantplus://offline/main?base=LAW;n=98088;fld=134;dst=100027" TargetMode="External"/><Relationship Id="rId14" Type="http://schemas.openxmlformats.org/officeDocument/2006/relationships/hyperlink" Target="consultantplus://offline/main?base=LAW;n=108865;fld=13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1465</Words>
  <Characters>8356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Фатхуллин</dc:creator>
  <cp:lastModifiedBy>sasha</cp:lastModifiedBy>
  <cp:revision>2</cp:revision>
  <dcterms:created xsi:type="dcterms:W3CDTF">2019-01-05T07:17:00Z</dcterms:created>
  <dcterms:modified xsi:type="dcterms:W3CDTF">2019-01-05T07:17:00Z</dcterms:modified>
</cp:coreProperties>
</file>